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4D8B" w14:textId="2E17CC03" w:rsidR="00742E5C" w:rsidRDefault="00742E5C" w:rsidP="008327E4">
      <w:pPr>
        <w:pStyle w:val="Heading1"/>
      </w:pPr>
      <w:r>
        <w:t xml:space="preserve">How </w:t>
      </w:r>
      <w:r>
        <w:t>is</w:t>
      </w:r>
      <w:r>
        <w:t xml:space="preserve"> the Curriculum Framework for children and young people with Vision Impairment (CFVI)</w:t>
      </w:r>
      <w:r>
        <w:t xml:space="preserve"> being implemented</w:t>
      </w:r>
      <w:r>
        <w:t>?</w:t>
      </w:r>
    </w:p>
    <w:p w14:paraId="0496785D" w14:textId="16718041" w:rsidR="002E210F" w:rsidRDefault="002E210F" w:rsidP="002E210F">
      <w:r>
        <w:t>In the last academic year, a series of workshops enabled practitioners to get together and discuss how the CFVI</w:t>
      </w:r>
      <w:r>
        <w:t xml:space="preserve"> is being </w:t>
      </w:r>
      <w:r w:rsidR="0088373F">
        <w:t>delivered</w:t>
      </w:r>
      <w:r>
        <w:t xml:space="preserve">. Information from all the workshops has been collated in a master document, available on RNIB’s website: </w:t>
      </w:r>
      <w:hyperlink r:id="rId8" w:history="1">
        <w:r w:rsidRPr="00460AF6">
          <w:rPr>
            <w:color w:val="0000FF"/>
            <w:u w:val="single"/>
          </w:rPr>
          <w:t>Participant feedback from themed CPD events (2023 - 2024)</w:t>
        </w:r>
      </w:hyperlink>
      <w:r>
        <w:t xml:space="preserve">. The following is taken from this master document and focuses on </w:t>
      </w:r>
      <w:r w:rsidR="00797C7D">
        <w:t xml:space="preserve">how services are linking </w:t>
      </w:r>
      <w:r w:rsidR="00E522A6">
        <w:t>their current offer to the framework</w:t>
      </w:r>
      <w:r w:rsidR="00E5702E">
        <w:t xml:space="preserve"> </w:t>
      </w:r>
      <w:r w:rsidR="00F95BDA">
        <w:t>as well as including</w:t>
      </w:r>
      <w:r w:rsidR="00D012E7">
        <w:t xml:space="preserve"> ideas for using the framework</w:t>
      </w:r>
      <w:r w:rsidR="00F95BDA">
        <w:t xml:space="preserve"> to shape future practice.</w:t>
      </w:r>
    </w:p>
    <w:p w14:paraId="25E95872" w14:textId="77777777" w:rsidR="00A13AC8" w:rsidRDefault="00A13AC8" w:rsidP="004D5A88"/>
    <w:p w14:paraId="0309AE2B" w14:textId="77777777" w:rsidR="004D5A88" w:rsidRDefault="00982DBA" w:rsidP="004D5A88">
      <w:pPr>
        <w:rPr>
          <w:b/>
          <w:bCs/>
        </w:rPr>
      </w:pPr>
      <w:r w:rsidRPr="004D5A88">
        <w:rPr>
          <w:b/>
          <w:bCs/>
        </w:rPr>
        <w:t xml:space="preserve">Overall, participants found that the CFVI is a versatile and impactful tool, enhancing communication, justifying interventions, formalising approaches, and providing structure and direction to teams. </w:t>
      </w:r>
    </w:p>
    <w:p w14:paraId="3E340A1A" w14:textId="77777777" w:rsidR="00FC6E7C" w:rsidRDefault="00FC6E7C" w:rsidP="004D5A88">
      <w:pPr>
        <w:rPr>
          <w:b/>
          <w:bCs/>
        </w:rPr>
      </w:pPr>
    </w:p>
    <w:p w14:paraId="236FF5CD" w14:textId="2E5241B5" w:rsidR="004D5A88" w:rsidRDefault="00FC6E7C" w:rsidP="008327E4">
      <w:pPr>
        <w:pStyle w:val="Heading2"/>
      </w:pPr>
      <w:r>
        <w:t>Enablers</w:t>
      </w:r>
      <w:r w:rsidR="008327E4">
        <w:t xml:space="preserve"> for implementing the framework</w:t>
      </w:r>
    </w:p>
    <w:p w14:paraId="1A161E65" w14:textId="7BF7F432" w:rsidR="00EE6B6F" w:rsidRDefault="001E7A9F" w:rsidP="001E7A9F">
      <w:pPr>
        <w:pStyle w:val="Heading3"/>
      </w:pPr>
      <w:r>
        <w:t>Communication with stakeholders</w:t>
      </w:r>
    </w:p>
    <w:p w14:paraId="36CE328C" w14:textId="63888C50" w:rsidR="00D33B72" w:rsidRDefault="00D33B72" w:rsidP="00C5643B">
      <w:r>
        <w:t xml:space="preserve">The CFVI helps to </w:t>
      </w:r>
      <w:r w:rsidR="00636C45">
        <w:t xml:space="preserve">explain the role of VI specialist professionals and </w:t>
      </w:r>
      <w:r>
        <w:t xml:space="preserve">demonstrate the importance </w:t>
      </w:r>
      <w:r w:rsidR="009051B0">
        <w:t xml:space="preserve">and value </w:t>
      </w:r>
      <w:r>
        <w:t xml:space="preserve">of </w:t>
      </w:r>
      <w:r w:rsidR="001F7CF8">
        <w:t xml:space="preserve">specialist </w:t>
      </w:r>
      <w:r w:rsidR="00DA7F3A">
        <w:t xml:space="preserve">VI </w:t>
      </w:r>
      <w:r w:rsidR="001F7CF8">
        <w:t>support</w:t>
      </w:r>
      <w:r w:rsidR="009051B0">
        <w:t xml:space="preserve"> to</w:t>
      </w:r>
      <w:r>
        <w:t>:</w:t>
      </w:r>
    </w:p>
    <w:p w14:paraId="172136EF" w14:textId="3470205D" w:rsidR="001F7CF8" w:rsidRDefault="009051B0" w:rsidP="00A95876">
      <w:pPr>
        <w:pStyle w:val="ListBullet"/>
      </w:pPr>
      <w:r>
        <w:t>C</w:t>
      </w:r>
      <w:r w:rsidR="00982DBA">
        <w:t>ommissioners</w:t>
      </w:r>
    </w:p>
    <w:p w14:paraId="01075138" w14:textId="29FFB96B" w:rsidR="000729B0" w:rsidRDefault="009051B0" w:rsidP="00A95876">
      <w:pPr>
        <w:pStyle w:val="ListBullet"/>
      </w:pPr>
      <w:r>
        <w:t>J</w:t>
      </w:r>
      <w:r w:rsidR="00DF0FD8">
        <w:t>ustify and obtain funding for specialist roles</w:t>
      </w:r>
      <w:r w:rsidR="006C090F">
        <w:t>.</w:t>
      </w:r>
    </w:p>
    <w:p w14:paraId="1094CC7D" w14:textId="52791407" w:rsidR="009051B0" w:rsidRDefault="00E10111" w:rsidP="00A95876">
      <w:pPr>
        <w:pStyle w:val="ListBullet"/>
      </w:pPr>
      <w:r>
        <w:t>Education p</w:t>
      </w:r>
      <w:r w:rsidR="009051B0">
        <w:t>rofessionals in non-VI specialist settings</w:t>
      </w:r>
      <w:r w:rsidR="006C090F">
        <w:t>.</w:t>
      </w:r>
    </w:p>
    <w:p w14:paraId="4CE414B5" w14:textId="0A023D28" w:rsidR="009051B0" w:rsidRDefault="00E10111" w:rsidP="00A95876">
      <w:pPr>
        <w:pStyle w:val="ListBullet"/>
      </w:pPr>
      <w:r>
        <w:t>Parents/carers</w:t>
      </w:r>
      <w:r w:rsidR="006C090F">
        <w:t>.</w:t>
      </w:r>
    </w:p>
    <w:p w14:paraId="5AE0E9A6" w14:textId="12F0D2D8" w:rsidR="003231F9" w:rsidRDefault="003231F9" w:rsidP="00A95876">
      <w:pPr>
        <w:pStyle w:val="ListBullet"/>
      </w:pPr>
      <w:r>
        <w:lastRenderedPageBreak/>
        <w:t xml:space="preserve">Justify </w:t>
      </w:r>
      <w:r w:rsidR="00564C0F">
        <w:t xml:space="preserve">and add weight to </w:t>
      </w:r>
      <w:r>
        <w:t>recommendations made by QTVI/RQHS</w:t>
      </w:r>
      <w:r w:rsidR="006C090F">
        <w:t>.</w:t>
      </w:r>
    </w:p>
    <w:p w14:paraId="454BEFBB" w14:textId="3BD55B7F" w:rsidR="00B9194C" w:rsidRDefault="003B229F" w:rsidP="00A95876">
      <w:pPr>
        <w:pStyle w:val="ListBullet"/>
      </w:pPr>
      <w:r>
        <w:t>Inform the local offer</w:t>
      </w:r>
      <w:r w:rsidR="006C090F">
        <w:t>.</w:t>
      </w:r>
    </w:p>
    <w:p w14:paraId="5725046B" w14:textId="77777777" w:rsidR="00E10111" w:rsidRDefault="00E10111" w:rsidP="00D77DDD"/>
    <w:p w14:paraId="0643C6F3" w14:textId="13DE1378" w:rsidR="00A53C18" w:rsidRDefault="00982DBA" w:rsidP="006B75A1">
      <w:pPr>
        <w:pStyle w:val="Heading3"/>
      </w:pPr>
      <w:r>
        <w:t>Student wellbeing and child</w:t>
      </w:r>
      <w:r w:rsidR="00A53C18">
        <w:t>/young person</w:t>
      </w:r>
      <w:r>
        <w:t xml:space="preserve"> voice</w:t>
      </w:r>
    </w:p>
    <w:p w14:paraId="798D1753" w14:textId="7665C07F" w:rsidR="000E1234" w:rsidRDefault="006B75A1" w:rsidP="006B75A1">
      <w:r>
        <w:t>At the heart of the CFVI is the child/young person with VI</w:t>
      </w:r>
      <w:r w:rsidR="0080051D">
        <w:t xml:space="preserve">; </w:t>
      </w:r>
      <w:r w:rsidR="004170B6">
        <w:t>in addition, the framework is holistic and considers their wider development</w:t>
      </w:r>
      <w:r w:rsidR="005E70E0">
        <w:t xml:space="preserve">. </w:t>
      </w:r>
      <w:r w:rsidR="00984CCD">
        <w:t>This</w:t>
      </w:r>
      <w:r w:rsidR="00252D76">
        <w:t xml:space="preserve"> helps ensure that:</w:t>
      </w:r>
    </w:p>
    <w:p w14:paraId="5359AA1E" w14:textId="2FCF74DD" w:rsidR="00252D76" w:rsidRDefault="00252D76" w:rsidP="00E5054B">
      <w:pPr>
        <w:pStyle w:val="ListBullet"/>
      </w:pPr>
      <w:r>
        <w:t>Provision is personalised</w:t>
      </w:r>
      <w:r w:rsidR="00851B8F">
        <w:t>.</w:t>
      </w:r>
    </w:p>
    <w:p w14:paraId="32AAA1C2" w14:textId="227AD865" w:rsidR="00851B8F" w:rsidRDefault="00C856E3" w:rsidP="00E5054B">
      <w:pPr>
        <w:pStyle w:val="ListBullet"/>
      </w:pPr>
      <w:r>
        <w:t>Provision for w</w:t>
      </w:r>
      <w:r w:rsidR="00EF4620">
        <w:t xml:space="preserve">ellbeing and personal development </w:t>
      </w:r>
      <w:r>
        <w:t xml:space="preserve">is </w:t>
      </w:r>
      <w:r w:rsidR="005E70E0">
        <w:t xml:space="preserve">considered alongside </w:t>
      </w:r>
      <w:r w:rsidR="00171D83">
        <w:t>access to the formal curriculum.</w:t>
      </w:r>
    </w:p>
    <w:p w14:paraId="552FDA92" w14:textId="13FDBB7E" w:rsidR="00B41184" w:rsidRDefault="00B41184" w:rsidP="00B41184">
      <w:pPr>
        <w:pStyle w:val="ListBullet"/>
        <w:numPr>
          <w:ilvl w:val="0"/>
          <w:numId w:val="0"/>
        </w:numPr>
        <w:ind w:left="360" w:hanging="360"/>
      </w:pPr>
    </w:p>
    <w:p w14:paraId="2E818D9B" w14:textId="3E8A03C2" w:rsidR="00B41184" w:rsidRDefault="00B41184" w:rsidP="00B41184">
      <w:pPr>
        <w:pStyle w:val="Heading3"/>
      </w:pPr>
      <w:r>
        <w:t>Staff training</w:t>
      </w:r>
    </w:p>
    <w:p w14:paraId="735B1696" w14:textId="4F777F5A" w:rsidR="00171D83" w:rsidRDefault="00B41184" w:rsidP="006B75A1">
      <w:r>
        <w:t xml:space="preserve">The CFVI can </w:t>
      </w:r>
      <w:r w:rsidR="00BE33DC">
        <w:t xml:space="preserve">be used as a starting point for staff training. In particular, Area 1 </w:t>
      </w:r>
      <w:r w:rsidR="00FC6E7C">
        <w:t>can be</w:t>
      </w:r>
      <w:r w:rsidR="00BE33DC">
        <w:t xml:space="preserve"> useful to </w:t>
      </w:r>
      <w:r w:rsidR="00394D53">
        <w:t>emphasise that everyone has a role in supporting a child/young person with VI</w:t>
      </w:r>
      <w:r w:rsidR="0089606E">
        <w:t>.</w:t>
      </w:r>
    </w:p>
    <w:p w14:paraId="0BC14B9C" w14:textId="77777777" w:rsidR="0089606E" w:rsidRDefault="0089606E" w:rsidP="006B75A1"/>
    <w:p w14:paraId="36B025D2" w14:textId="62F515F0" w:rsidR="0089606E" w:rsidRDefault="0089606E" w:rsidP="0089606E">
      <w:pPr>
        <w:pStyle w:val="Heading3"/>
      </w:pPr>
      <w:r>
        <w:t>Audit and planning tool</w:t>
      </w:r>
    </w:p>
    <w:p w14:paraId="22D905F3" w14:textId="5FAF6743" w:rsidR="0089606E" w:rsidRDefault="000B482C" w:rsidP="0089606E">
      <w:r>
        <w:t xml:space="preserve">The </w:t>
      </w:r>
      <w:r w:rsidR="003E7253">
        <w:t xml:space="preserve">clear </w:t>
      </w:r>
      <w:r>
        <w:t>structure of the CFVI</w:t>
      </w:r>
      <w:r w:rsidR="003E7253">
        <w:t xml:space="preserve"> c</w:t>
      </w:r>
      <w:r w:rsidR="00471FE0">
        <w:t>ould help in</w:t>
      </w:r>
      <w:r w:rsidR="003E7253">
        <w:t>:</w:t>
      </w:r>
    </w:p>
    <w:p w14:paraId="60AD7AA2" w14:textId="5545BAB5" w:rsidR="003E7253" w:rsidRDefault="00092D52" w:rsidP="00C53E39">
      <w:pPr>
        <w:pStyle w:val="ListBullet"/>
      </w:pPr>
      <w:r>
        <w:t>Assess</w:t>
      </w:r>
      <w:r w:rsidR="00471FE0">
        <w:t>ing</w:t>
      </w:r>
      <w:r>
        <w:t xml:space="preserve"> the current service offer</w:t>
      </w:r>
    </w:p>
    <w:p w14:paraId="1EE81CEE" w14:textId="14ED6175" w:rsidR="00092D52" w:rsidRDefault="0011445A" w:rsidP="00C53E39">
      <w:pPr>
        <w:pStyle w:val="ListBullet"/>
      </w:pPr>
      <w:r>
        <w:t>Identifying</w:t>
      </w:r>
      <w:r w:rsidR="00092D52">
        <w:t xml:space="preserve"> </w:t>
      </w:r>
      <w:r w:rsidR="00D66C0E">
        <w:t>areas for development</w:t>
      </w:r>
    </w:p>
    <w:p w14:paraId="7AB7A29E" w14:textId="46FE0AF9" w:rsidR="00D66C0E" w:rsidRPr="0089606E" w:rsidRDefault="00471FE0" w:rsidP="00C53E39">
      <w:pPr>
        <w:pStyle w:val="ListBullet"/>
      </w:pPr>
      <w:r>
        <w:t>Tracking activity</w:t>
      </w:r>
    </w:p>
    <w:p w14:paraId="182EED57" w14:textId="77777777" w:rsidR="00B41184" w:rsidRPr="006B75A1" w:rsidRDefault="00B41184" w:rsidP="006B75A1"/>
    <w:p w14:paraId="06C35119" w14:textId="1B7AD50D" w:rsidR="00C53E39" w:rsidRDefault="002C6CA1" w:rsidP="00C53E39">
      <w:pPr>
        <w:pStyle w:val="Heading3"/>
      </w:pPr>
      <w:r>
        <w:t xml:space="preserve">Meetings </w:t>
      </w:r>
      <w:r w:rsidR="00982DBA">
        <w:t xml:space="preserve">and </w:t>
      </w:r>
      <w:r>
        <w:t>d</w:t>
      </w:r>
      <w:r w:rsidR="00982DBA">
        <w:t>ocumentation</w:t>
      </w:r>
    </w:p>
    <w:p w14:paraId="37D57D31" w14:textId="14220870" w:rsidR="00FF2C52" w:rsidRDefault="002E1B09" w:rsidP="00FF2C52">
      <w:r>
        <w:t xml:space="preserve">The CFVI provides a shared language around provision for </w:t>
      </w:r>
      <w:r w:rsidR="007E1EB8">
        <w:t>VI. Therefore, it can be helpfully referred to in, for example:</w:t>
      </w:r>
    </w:p>
    <w:p w14:paraId="3AC8FCD4" w14:textId="0DAC33C9" w:rsidR="007E1EB8" w:rsidRDefault="00C112D5" w:rsidP="00C9582C">
      <w:pPr>
        <w:pStyle w:val="ListBullet"/>
      </w:pPr>
      <w:r>
        <w:t xml:space="preserve">Meetings between the child/young person, their </w:t>
      </w:r>
      <w:r w:rsidR="00CA281D">
        <w:t>family,</w:t>
      </w:r>
      <w:r>
        <w:t xml:space="preserve"> and professionals.</w:t>
      </w:r>
    </w:p>
    <w:p w14:paraId="55B41516" w14:textId="383FF02C" w:rsidR="00C112D5" w:rsidRDefault="00C112D5" w:rsidP="00C9582C">
      <w:pPr>
        <w:pStyle w:val="ListBullet"/>
      </w:pPr>
      <w:r>
        <w:lastRenderedPageBreak/>
        <w:t>Meetings between professionals.</w:t>
      </w:r>
    </w:p>
    <w:p w14:paraId="417D17CD" w14:textId="2B13D2DB" w:rsidR="00C112D5" w:rsidRDefault="00DB6718" w:rsidP="00C9582C">
      <w:pPr>
        <w:pStyle w:val="ListBullet"/>
      </w:pPr>
      <w:r>
        <w:t>Written plans of s</w:t>
      </w:r>
      <w:r w:rsidR="00BF1897">
        <w:t>upport</w:t>
      </w:r>
    </w:p>
    <w:p w14:paraId="21B27AA8" w14:textId="6B70962A" w:rsidR="00BF1897" w:rsidRDefault="00BF1897" w:rsidP="00C9582C">
      <w:pPr>
        <w:pStyle w:val="ListBullet"/>
      </w:pPr>
      <w:r>
        <w:t>Transition plans</w:t>
      </w:r>
      <w:r w:rsidR="00D20344">
        <w:t>.</w:t>
      </w:r>
    </w:p>
    <w:p w14:paraId="169E43EA" w14:textId="593DB681" w:rsidR="00BF1897" w:rsidRDefault="00DB6718" w:rsidP="00C9582C">
      <w:pPr>
        <w:pStyle w:val="ListBullet"/>
      </w:pPr>
      <w:r>
        <w:t>Visit records</w:t>
      </w:r>
      <w:r w:rsidR="00D20344">
        <w:t>.</w:t>
      </w:r>
    </w:p>
    <w:p w14:paraId="5438B0D3" w14:textId="77777777" w:rsidR="00C9582C" w:rsidRDefault="00C9582C" w:rsidP="00C9582C">
      <w:pPr>
        <w:pStyle w:val="ListBullet"/>
        <w:numPr>
          <w:ilvl w:val="0"/>
          <w:numId w:val="0"/>
        </w:numPr>
        <w:ind w:left="360" w:hanging="360"/>
      </w:pPr>
    </w:p>
    <w:p w14:paraId="16187907" w14:textId="72434164" w:rsidR="00FD4360" w:rsidRDefault="00BC37F6" w:rsidP="00FC6E7C">
      <w:pPr>
        <w:pStyle w:val="Heading2"/>
      </w:pPr>
      <w:r>
        <w:t>Barriers to implementing the framework</w:t>
      </w:r>
    </w:p>
    <w:p w14:paraId="7898A6E9" w14:textId="472E10C7" w:rsidR="00F927C8" w:rsidRDefault="00F927C8" w:rsidP="00FD5AC3">
      <w:pPr>
        <w:pStyle w:val="ListBullet"/>
      </w:pPr>
      <w:r>
        <w:t>Limited opportunities to raise awareness of the framework to those outside the VI service.</w:t>
      </w:r>
    </w:p>
    <w:p w14:paraId="67EC8183" w14:textId="34F1CEA3" w:rsidR="006B4AF3" w:rsidRPr="00F927C8" w:rsidRDefault="006B4AF3" w:rsidP="00FD5AC3">
      <w:pPr>
        <w:pStyle w:val="ListBullet"/>
      </w:pPr>
      <w:r>
        <w:t>Non-statutory nature of the framework.</w:t>
      </w:r>
    </w:p>
    <w:p w14:paraId="38EB33C4" w14:textId="5E807585" w:rsidR="00207872" w:rsidRDefault="00A33E91" w:rsidP="00FD5AC3">
      <w:pPr>
        <w:pStyle w:val="ListBullet"/>
      </w:pPr>
      <w:r>
        <w:t xml:space="preserve">Difficulties relating framework to </w:t>
      </w:r>
      <w:r w:rsidR="00CE45E0">
        <w:t>support for children and young people seen infrequently by the VI service.</w:t>
      </w:r>
    </w:p>
    <w:p w14:paraId="19385E74" w14:textId="6284A6F8" w:rsidR="005C6207" w:rsidRDefault="005C6207" w:rsidP="00FD5AC3">
      <w:pPr>
        <w:pStyle w:val="ListBullet"/>
      </w:pPr>
      <w:r>
        <w:t xml:space="preserve">Challenge of </w:t>
      </w:r>
      <w:r w:rsidR="008D3579">
        <w:t>matching current progress monitoring processes to CFVI.</w:t>
      </w:r>
    </w:p>
    <w:p w14:paraId="0B9ECE35" w14:textId="20414C91" w:rsidR="008D3579" w:rsidRDefault="00AF11F0" w:rsidP="00FD5AC3">
      <w:pPr>
        <w:pStyle w:val="ListBullet"/>
      </w:pPr>
      <w:r>
        <w:t>Managing parent/carers expectations.</w:t>
      </w:r>
    </w:p>
    <w:p w14:paraId="52C7439E" w14:textId="77777777" w:rsidR="00AF11F0" w:rsidRDefault="00AF11F0" w:rsidP="00FF2C52"/>
    <w:p w14:paraId="6384F734" w14:textId="08CBBBDB" w:rsidR="00FD5AC3" w:rsidRDefault="00FD5AC3" w:rsidP="00FC6E7C">
      <w:pPr>
        <w:pStyle w:val="Heading2"/>
      </w:pPr>
      <w:r>
        <w:t>Ideas for reducing barriers to implementing the CFVI</w:t>
      </w:r>
    </w:p>
    <w:p w14:paraId="5E3433AA" w14:textId="6EB70AE8" w:rsidR="00920FDE" w:rsidRDefault="00920FDE" w:rsidP="001650CF">
      <w:pPr>
        <w:pStyle w:val="ListBullet"/>
      </w:pPr>
      <w:r>
        <w:t>P</w:t>
      </w:r>
      <w:r>
        <w:t xml:space="preserve">rotecting time in team meetings to discuss </w:t>
      </w:r>
      <w:r>
        <w:t xml:space="preserve">the </w:t>
      </w:r>
      <w:r>
        <w:t>CFVI</w:t>
      </w:r>
      <w:r>
        <w:t>.</w:t>
      </w:r>
    </w:p>
    <w:p w14:paraId="651278F5" w14:textId="0EE1FEB7" w:rsidR="00A33E91" w:rsidRDefault="00455EA2" w:rsidP="001650CF">
      <w:pPr>
        <w:pStyle w:val="ListBullet"/>
      </w:pPr>
      <w:r>
        <w:t>‘Drip feed’</w:t>
      </w:r>
      <w:r w:rsidR="00BA0F4A">
        <w:t xml:space="preserve"> awareness raising</w:t>
      </w:r>
      <w:r>
        <w:t>: c</w:t>
      </w:r>
      <w:r>
        <w:t>onsistently communicating and highlighting CFVI to all relevant staff</w:t>
      </w:r>
      <w:r>
        <w:t xml:space="preserve"> and e</w:t>
      </w:r>
      <w:r>
        <w:t>mphasising that CFVI is not new but a focused approach to supporting independence.</w:t>
      </w:r>
    </w:p>
    <w:p w14:paraId="4DF2C898" w14:textId="6625D63A" w:rsidR="002009B1" w:rsidRDefault="002009B1" w:rsidP="001650CF">
      <w:pPr>
        <w:pStyle w:val="ListBullet"/>
      </w:pPr>
      <w:r>
        <w:t>S</w:t>
      </w:r>
      <w:r>
        <w:t>haring resources and good practices across local authorities</w:t>
      </w:r>
      <w:r w:rsidR="00C00EA7">
        <w:t>.</w:t>
      </w:r>
    </w:p>
    <w:p w14:paraId="73038F5D" w14:textId="6285E51D" w:rsidR="00C00EA7" w:rsidRDefault="00C00EA7" w:rsidP="001650CF">
      <w:pPr>
        <w:pStyle w:val="ListBullet"/>
      </w:pPr>
      <w:r>
        <w:t>Engaging parents and pupils in advocating for CFVI within schools.</w:t>
      </w:r>
    </w:p>
    <w:p w14:paraId="7ED8BBCD" w14:textId="4A396A89" w:rsidR="00455EA2" w:rsidRPr="00FF2C52" w:rsidRDefault="00D04166" w:rsidP="00FF2C52">
      <w:pPr>
        <w:pStyle w:val="ListBullet"/>
      </w:pPr>
      <w:r>
        <w:t>Building rapport with class teachers and aligning CFVI with existing school activities.</w:t>
      </w:r>
    </w:p>
    <w:sectPr w:rsidR="00455EA2" w:rsidRPr="00FF2C52" w:rsidSect="00763BB8">
      <w:footerReference w:type="default" r:id="rId9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09C7" w14:textId="77777777" w:rsidR="00982DBA" w:rsidRDefault="00982DBA" w:rsidP="00E539B0">
      <w:r>
        <w:separator/>
      </w:r>
    </w:p>
  </w:endnote>
  <w:endnote w:type="continuationSeparator" w:id="0">
    <w:p w14:paraId="546757FC" w14:textId="77777777" w:rsidR="00982DBA" w:rsidRDefault="00982DBA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BB1ED" w14:textId="77777777" w:rsidR="00DF3E6E" w:rsidRDefault="00DF3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C5C204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D643" w14:textId="77777777" w:rsidR="00982DBA" w:rsidRDefault="00982DBA" w:rsidP="00E539B0">
      <w:r>
        <w:separator/>
      </w:r>
    </w:p>
  </w:footnote>
  <w:footnote w:type="continuationSeparator" w:id="0">
    <w:p w14:paraId="3883429E" w14:textId="77777777" w:rsidR="00982DBA" w:rsidRDefault="00982DBA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0326B"/>
    <w:multiLevelType w:val="hybridMultilevel"/>
    <w:tmpl w:val="C000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50783">
    <w:abstractNumId w:val="1"/>
  </w:num>
  <w:num w:numId="2" w16cid:durableId="181893787">
    <w:abstractNumId w:val="0"/>
  </w:num>
  <w:num w:numId="3" w16cid:durableId="532380473">
    <w:abstractNumId w:val="5"/>
  </w:num>
  <w:num w:numId="4" w16cid:durableId="1094787621">
    <w:abstractNumId w:val="3"/>
  </w:num>
  <w:num w:numId="5" w16cid:durableId="2095319792">
    <w:abstractNumId w:val="7"/>
  </w:num>
  <w:num w:numId="6" w16cid:durableId="158233314">
    <w:abstractNumId w:val="6"/>
  </w:num>
  <w:num w:numId="7" w16cid:durableId="1914318715">
    <w:abstractNumId w:val="2"/>
  </w:num>
  <w:num w:numId="8" w16cid:durableId="1650860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BA"/>
    <w:rsid w:val="0006620F"/>
    <w:rsid w:val="000676EF"/>
    <w:rsid w:val="000729B0"/>
    <w:rsid w:val="00092D52"/>
    <w:rsid w:val="000B482C"/>
    <w:rsid w:val="000B5BCF"/>
    <w:rsid w:val="000C2A56"/>
    <w:rsid w:val="000E1234"/>
    <w:rsid w:val="000F07EB"/>
    <w:rsid w:val="00101B60"/>
    <w:rsid w:val="00104BE1"/>
    <w:rsid w:val="0011445A"/>
    <w:rsid w:val="00135776"/>
    <w:rsid w:val="001650CF"/>
    <w:rsid w:val="00171D83"/>
    <w:rsid w:val="001D5A85"/>
    <w:rsid w:val="001E7A9F"/>
    <w:rsid w:val="001F7CF8"/>
    <w:rsid w:val="002009B1"/>
    <w:rsid w:val="00207872"/>
    <w:rsid w:val="00234679"/>
    <w:rsid w:val="00252D76"/>
    <w:rsid w:val="002C6CA1"/>
    <w:rsid w:val="002E1B09"/>
    <w:rsid w:val="002E210F"/>
    <w:rsid w:val="003231F9"/>
    <w:rsid w:val="003929EF"/>
    <w:rsid w:val="003948F6"/>
    <w:rsid w:val="00394D53"/>
    <w:rsid w:val="003B229F"/>
    <w:rsid w:val="003E7253"/>
    <w:rsid w:val="004170B6"/>
    <w:rsid w:val="004243BA"/>
    <w:rsid w:val="00455EA2"/>
    <w:rsid w:val="00470225"/>
    <w:rsid w:val="00471FE0"/>
    <w:rsid w:val="00477EE5"/>
    <w:rsid w:val="004877E6"/>
    <w:rsid w:val="00487890"/>
    <w:rsid w:val="004D5A88"/>
    <w:rsid w:val="005145DA"/>
    <w:rsid w:val="005176CD"/>
    <w:rsid w:val="00564C0F"/>
    <w:rsid w:val="005C3D3E"/>
    <w:rsid w:val="005C6207"/>
    <w:rsid w:val="005E70E0"/>
    <w:rsid w:val="00617685"/>
    <w:rsid w:val="00620C74"/>
    <w:rsid w:val="00636C45"/>
    <w:rsid w:val="00636F62"/>
    <w:rsid w:val="00673E6E"/>
    <w:rsid w:val="006B4AF3"/>
    <w:rsid w:val="006B75A1"/>
    <w:rsid w:val="006C090F"/>
    <w:rsid w:val="006C4B67"/>
    <w:rsid w:val="006E77AB"/>
    <w:rsid w:val="00742E5C"/>
    <w:rsid w:val="00763BB8"/>
    <w:rsid w:val="007970C4"/>
    <w:rsid w:val="00797C7D"/>
    <w:rsid w:val="007B5F7B"/>
    <w:rsid w:val="007E1EB8"/>
    <w:rsid w:val="0080051D"/>
    <w:rsid w:val="008327E4"/>
    <w:rsid w:val="00840D15"/>
    <w:rsid w:val="00851B8F"/>
    <w:rsid w:val="0088373F"/>
    <w:rsid w:val="0089606E"/>
    <w:rsid w:val="008C32AC"/>
    <w:rsid w:val="008D3579"/>
    <w:rsid w:val="00902BAF"/>
    <w:rsid w:val="009051B0"/>
    <w:rsid w:val="00920FDE"/>
    <w:rsid w:val="00935DE6"/>
    <w:rsid w:val="00982DBA"/>
    <w:rsid w:val="00984CCD"/>
    <w:rsid w:val="009C175C"/>
    <w:rsid w:val="009F25A6"/>
    <w:rsid w:val="00A13AC8"/>
    <w:rsid w:val="00A24383"/>
    <w:rsid w:val="00A33E91"/>
    <w:rsid w:val="00A53C18"/>
    <w:rsid w:val="00A8540A"/>
    <w:rsid w:val="00A95876"/>
    <w:rsid w:val="00AC2650"/>
    <w:rsid w:val="00AF11F0"/>
    <w:rsid w:val="00B41184"/>
    <w:rsid w:val="00B44DB1"/>
    <w:rsid w:val="00B573DA"/>
    <w:rsid w:val="00B9194C"/>
    <w:rsid w:val="00BA0F4A"/>
    <w:rsid w:val="00BB3186"/>
    <w:rsid w:val="00BC37F6"/>
    <w:rsid w:val="00BC7C05"/>
    <w:rsid w:val="00BD306C"/>
    <w:rsid w:val="00BE33DC"/>
    <w:rsid w:val="00BF1897"/>
    <w:rsid w:val="00C00EA7"/>
    <w:rsid w:val="00C043FE"/>
    <w:rsid w:val="00C112D5"/>
    <w:rsid w:val="00C53E39"/>
    <w:rsid w:val="00C5643B"/>
    <w:rsid w:val="00C856E3"/>
    <w:rsid w:val="00C9582C"/>
    <w:rsid w:val="00CA281D"/>
    <w:rsid w:val="00CC68EC"/>
    <w:rsid w:val="00CE45E0"/>
    <w:rsid w:val="00D012E7"/>
    <w:rsid w:val="00D023EE"/>
    <w:rsid w:val="00D04166"/>
    <w:rsid w:val="00D20344"/>
    <w:rsid w:val="00D33B72"/>
    <w:rsid w:val="00D33B99"/>
    <w:rsid w:val="00D6330D"/>
    <w:rsid w:val="00D66C0E"/>
    <w:rsid w:val="00D77DDD"/>
    <w:rsid w:val="00DA7F3A"/>
    <w:rsid w:val="00DB286B"/>
    <w:rsid w:val="00DB6718"/>
    <w:rsid w:val="00DD381A"/>
    <w:rsid w:val="00DF0FD8"/>
    <w:rsid w:val="00DF3E6E"/>
    <w:rsid w:val="00E10111"/>
    <w:rsid w:val="00E34003"/>
    <w:rsid w:val="00E5054B"/>
    <w:rsid w:val="00E522A6"/>
    <w:rsid w:val="00E539B0"/>
    <w:rsid w:val="00E5702E"/>
    <w:rsid w:val="00E85F2C"/>
    <w:rsid w:val="00E97A5F"/>
    <w:rsid w:val="00EE6B6F"/>
    <w:rsid w:val="00EF4620"/>
    <w:rsid w:val="00F0603F"/>
    <w:rsid w:val="00F42AF3"/>
    <w:rsid w:val="00F52847"/>
    <w:rsid w:val="00F927C8"/>
    <w:rsid w:val="00F95BDA"/>
    <w:rsid w:val="00FC6E7C"/>
    <w:rsid w:val="00FD4360"/>
    <w:rsid w:val="00FD5AC3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6509A3A"/>
  <w15:chartTrackingRefBased/>
  <w15:docId w15:val="{BFBFE575-9869-430E-9AA4-68582389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DB1"/>
    <w:pPr>
      <w:spacing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42E5C"/>
    <w:rPr>
      <w:rFonts w:ascii="Arial" w:hAnsi="Arial"/>
      <w:b/>
      <w:kern w:val="32"/>
      <w:sz w:val="44"/>
    </w:rPr>
  </w:style>
  <w:style w:type="paragraph" w:styleId="ListParagraph">
    <w:name w:val="List Paragraph"/>
    <w:basedOn w:val="Normal"/>
    <w:uiPriority w:val="34"/>
    <w:rsid w:val="00A8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rnib.org.uk/documents/CPD_Shared_Practice_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563E-AD29-4629-A17C-B7B2606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458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Sharp</dc:creator>
  <cp:keywords/>
  <dc:description/>
  <cp:lastModifiedBy>Jane Sharp</cp:lastModifiedBy>
  <cp:revision>112</cp:revision>
  <dcterms:created xsi:type="dcterms:W3CDTF">2024-12-30T09:47:00Z</dcterms:created>
  <dcterms:modified xsi:type="dcterms:W3CDTF">2024-12-30T11:29:00Z</dcterms:modified>
</cp:coreProperties>
</file>